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503309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537825"/>
                          <a:ext cx="6115685" cy="503309"/>
                          <a:chOff x="2288150" y="3537825"/>
                          <a:chExt cx="6115700" cy="484350"/>
                        </a:xfrm>
                      </wpg:grpSpPr>
                      <wpg:grpSp>
                        <wpg:cNvGrpSpPr/>
                        <wpg:grpSpPr>
                          <a:xfrm>
                            <a:off x="2288158" y="3537842"/>
                            <a:ext cx="6115685" cy="484317"/>
                            <a:chOff x="2288150" y="3547325"/>
                            <a:chExt cx="6115700" cy="465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547325"/>
                              <a:ext cx="6115700" cy="46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547338"/>
                              <a:ext cx="6115685" cy="465324"/>
                              <a:chOff x="2288150" y="3556825"/>
                              <a:chExt cx="6115700" cy="4463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556825"/>
                                <a:ext cx="6115700" cy="44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556835"/>
                                <a:ext cx="6115685" cy="446331"/>
                                <a:chOff x="2288150" y="3566325"/>
                                <a:chExt cx="6115700" cy="4273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566325"/>
                                  <a:ext cx="6115700" cy="42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566331"/>
                                  <a:ext cx="6115685" cy="427338"/>
                                  <a:chOff x="2288150" y="3575825"/>
                                  <a:chExt cx="6115700" cy="4083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575825"/>
                                    <a:ext cx="6115700" cy="40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575828"/>
                                    <a:ext cx="6115685" cy="408345"/>
                                    <a:chOff x="2288150" y="3585675"/>
                                    <a:chExt cx="6115700" cy="3886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585675"/>
                                      <a:ext cx="6115700" cy="3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585690"/>
                                      <a:ext cx="6115685" cy="388620"/>
                                      <a:chOff x="2311653" y="3594580"/>
                                      <a:chExt cx="6116320" cy="370825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311653" y="3594580"/>
                                        <a:ext cx="6116300" cy="370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311653" y="3594580"/>
                                        <a:ext cx="6116320" cy="370825"/>
                                        <a:chOff x="0" y="0"/>
                                        <a:chExt cx="6116320" cy="370825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0" y="0"/>
                                          <a:ext cx="6068675" cy="370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6" name="Shape 16"/>
                                      <wps:spPr>
                                        <a:xfrm>
                                          <a:off x="0" y="0"/>
                                          <a:ext cx="6068695" cy="364490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364490" w="6068695">
                                              <a:moveTo>
                                                <a:pt x="6068314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64235"/>
                                              </a:lnTo>
                                              <a:lnTo>
                                                <a:pt x="6068314" y="364235"/>
                                              </a:lnTo>
                                              <a:lnTo>
                                                <a:pt x="6068314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1F1F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0" y="364236"/>
                                          <a:ext cx="6068695" cy="6350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6350" w="6068695">
                                              <a:moveTo>
                                                <a:pt x="6068314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6096"/>
                                              </a:lnTo>
                                              <a:lnTo>
                                                <a:pt x="6068314" y="6096"/>
                                              </a:lnTo>
                                              <a:lnTo>
                                                <a:pt x="6068314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8" name="Shape 18"/>
                                      <wps:spPr>
                                        <a:xfrm>
                                          <a:off x="47625" y="0"/>
                                          <a:ext cx="6068695" cy="364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160" w:line="240"/>
                                              <w:ind w:left="27.000000476837158" w:right="0" w:firstLine="27.000000476837158"/>
                                              <w:jc w:val="left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Arial" w:cs="Arial" w:eastAsia="Arial" w:hAnsi="Arial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2"/>
                                                <w:vertAlign w:val="baseline"/>
                                              </w:rPr>
                                              <w:t xml:space="preserve">Curso básico de salvamento y extinción de incendios en aeronaves: trabajo seguro en aviones y helicópteros.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t" bIns="0" lIns="0" spcFirstLastPara="1" rIns="0" wrap="square" tIns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503309"/>
                <wp:effectExtent b="0" l="0" r="0" t="0"/>
                <wp:wrapTopAndBottom distB="0" dist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5033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Este curso está orientado al personal de la Dirección de Bomberos que componen las dotaciones, a los fines de alcanzar una operación apropiada y segura en el servicio de salvamento y extinción de incendios en el ámbito aeroportuario. Se destaca que el trabajo de control y contención de incendios en aeronaves, requiere posicionar al personal de bomberos en el plano de las tareas a desarrollar, siendo fundamental el conocimiento de las maniobras de salvamento y operación de elementos, autobombas adaptadas específicamente para este tipo de intervenciones, garantizando el éxito operativo.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propuesta estará destinada al personal policial perteneciente a la Dirección de Bomberos, como así también a las demás direcciones que componen la Superintendencia de Seguridad Siniestral. Asimismo, estará propuesto para el personal policial de otras Superintendencias de esta cartera ministerial que requieran capacitación sobre esta temática. Y por último estará destinada a bomberos de otras policías de la República Argentina que cumplan con los requisitos propuestos en el proyecto de capacitación.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40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rtl w:val="0"/>
        </w:rPr>
        <w:t xml:space="preserve">edición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Octubre.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20.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cuartelbomberosaeronautica@gmail.com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d75Uw68M4LpwfgOTnJwwVxA0w==">CgMxLjA4AHIhMWZKamJDWFNDUUswVXhXM3Jzd3QwT1l2RkVva0dUdWxV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